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300" w:lineRule="auto"/>
        <w:jc w:val="center"/>
        <w:outlineLvl w:val="0"/>
        <w:rPr>
          <w:rFonts w:ascii="Times New Roman" w:hAnsi="Times New Roman" w:eastAsia="宋体" w:cs="宋体"/>
          <w:b/>
          <w:bCs/>
          <w:sz w:val="30"/>
          <w:szCs w:val="30"/>
        </w:rPr>
      </w:pPr>
      <w:bookmarkStart w:id="0" w:name="_Toc47727083"/>
      <w:r>
        <w:rPr>
          <w:rFonts w:ascii="Times New Roman" w:hAnsi="Times New Roman" w:eastAsia="宋体" w:cs="宋体"/>
          <w:b/>
          <w:bCs/>
          <w:sz w:val="30"/>
          <w:szCs w:val="30"/>
        </w:rPr>
        <w:t>附件1：20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20</w:t>
      </w:r>
      <w:r>
        <w:rPr>
          <w:rFonts w:ascii="Times New Roman" w:hAnsi="Times New Roman" w:eastAsia="宋体" w:cs="宋体"/>
          <w:b/>
          <w:bCs/>
          <w:sz w:val="30"/>
          <w:szCs w:val="30"/>
        </w:rPr>
        <w:t>年“在商言商”商务谈判比赛赛制设计</w:t>
      </w:r>
      <w:bookmarkEnd w:id="0"/>
    </w:p>
    <w:p>
      <w:pPr>
        <w:spacing w:line="300" w:lineRule="auto"/>
        <w:jc w:val="center"/>
        <w:rPr>
          <w:rFonts w:ascii="Times New Roman" w:hAnsi="Times New Roman" w:eastAsia="宋体" w:cs="Times New Roman"/>
        </w:rPr>
      </w:pPr>
    </w:p>
    <w:tbl>
      <w:tblPr>
        <w:tblStyle w:val="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260"/>
        <w:gridCol w:w="3828"/>
      </w:tblGrid>
      <w:tr>
        <w:tc>
          <w:tcPr>
            <w:tcW w:w="1276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报名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队伍需在8月1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日-9月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日之间发送报名表至公共邮箱，每队将按照报名顺序依次被指定为甲方、乙方，各队的持方将以邮件形式回复通知。</w:t>
            </w:r>
          </w:p>
        </w:tc>
      </w:tr>
      <w:tr>
        <w:tc>
          <w:tcPr>
            <w:tcW w:w="1276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投稿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队伍按照指定持方撰写谈判方案，于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8月1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日-9月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日12：00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之间按照比赛要求发送报名表至公共邮箱。</w:t>
            </w:r>
          </w:p>
        </w:tc>
      </w:tr>
      <w:tr>
        <w:tc>
          <w:tcPr>
            <w:tcW w:w="1276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预赛</w:t>
            </w:r>
          </w:p>
        </w:tc>
        <w:tc>
          <w:tcPr>
            <w:tcW w:w="3260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方案成绩排名后25%</w:t>
            </w:r>
          </w:p>
        </w:tc>
        <w:tc>
          <w:tcPr>
            <w:tcW w:w="3828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淘汰</w:t>
            </w:r>
          </w:p>
        </w:tc>
      </w:tr>
      <w:tr>
        <w:trPr>
          <w:trHeight w:val="391" w:hRule="atLeast"/>
        </w:trPr>
        <w:tc>
          <w:tcPr>
            <w:tcW w:w="1276" w:type="dxa"/>
            <w:vMerge w:val="continue"/>
          </w:tcPr>
          <w:p>
            <w:pPr>
              <w:spacing w:line="264" w:lineRule="auto"/>
              <w:jc w:val="center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方案成绩排名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%-75%</w:t>
            </w:r>
          </w:p>
        </w:tc>
        <w:tc>
          <w:tcPr>
            <w:tcW w:w="3828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三等奖（失去初赛资格）</w:t>
            </w:r>
          </w:p>
        </w:tc>
      </w:tr>
      <w:tr>
        <w:trPr>
          <w:trHeight w:val="336" w:hRule="atLeast"/>
        </w:trPr>
        <w:tc>
          <w:tcPr>
            <w:tcW w:w="1276" w:type="dxa"/>
            <w:vMerge w:val="continue"/>
          </w:tcPr>
          <w:p>
            <w:pPr>
              <w:spacing w:line="264" w:lineRule="auto"/>
              <w:jc w:val="center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方案成绩排名前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50%</w:t>
            </w:r>
          </w:p>
        </w:tc>
        <w:tc>
          <w:tcPr>
            <w:tcW w:w="3828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获得进入初赛资格</w:t>
            </w:r>
          </w:p>
        </w:tc>
      </w:tr>
      <w:tr>
        <w:tc>
          <w:tcPr>
            <w:tcW w:w="1276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初赛</w:t>
            </w:r>
          </w:p>
        </w:tc>
        <w:tc>
          <w:tcPr>
            <w:tcW w:w="3260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a.若晋级队伍中甲乙方数量 对等，则队伍的持方不变，进一步在该持方立场下进行分组。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b.若晋级队伍中甲乙方数量不对等，则重新抽签确定甲乙持方，再进一步进行分组。</w:t>
            </w:r>
          </w:p>
        </w:tc>
        <w:tc>
          <w:tcPr>
            <w:tcW w:w="3828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 xml:space="preserve">1.参赛队伍进行分组，两两对决，输方淘汰，赢方算加权成绩得出前四。 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 xml:space="preserve">.加权成绩前四名将进入决赛，剩余队伍获得二等奖。 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 xml:space="preserve">.每一场初赛将评选出一位“最佳谈判选手”。 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.除去初赛中前四名，再根据各项单项得分评选出“最佳案例奖”、“最佳风采奖”、“最佳协作奖”。</w:t>
            </w:r>
          </w:p>
        </w:tc>
      </w:tr>
      <w:tr>
        <w:tc>
          <w:tcPr>
            <w:tcW w:w="1276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决赛</w:t>
            </w:r>
          </w:p>
        </w:tc>
        <w:tc>
          <w:tcPr>
            <w:tcW w:w="3260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 xml:space="preserve">a.决赛当天，初赛中的三四争季军，一二争冠军。第一轮谈判为季军争夺赛，第二轮谈判为冠军争夺赛。评委依据两轮谈判得出现场表现成绩，并按现场成绩排名，决出冠亚季殿。 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b. 两场比赛结束后，评委将 根据全场综合表现，评选出 “最佳谈判选手”。</w:t>
            </w:r>
          </w:p>
        </w:tc>
        <w:tc>
          <w:tcPr>
            <w:tcW w:w="3828" w:type="dxa"/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1.若初赛中第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3、4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名双方为不同持方，则谈判立场不变；若为同一持方，则赛前重新抽签确定甲乙方。</w:t>
            </w:r>
          </w:p>
          <w:p>
            <w:pPr>
              <w:spacing w:line="264" w:lineRule="auto"/>
              <w:jc w:val="left"/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2.若初赛中第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1、2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>名双方为不同持方，则谈判立场不变；若为同一持方，则赛前重新抽签甲乙方。</w:t>
            </w:r>
          </w:p>
        </w:tc>
      </w:tr>
    </w:tbl>
    <w:p>
      <w:pPr>
        <w:spacing w:line="300" w:lineRule="auto"/>
        <w:rPr>
          <w:rFonts w:ascii="Times New Roman" w:hAnsi="Times New Roman" w:eastAsia="宋体" w:cs="黑体"/>
          <w:b/>
          <w:sz w:val="24"/>
          <w:szCs w:val="24"/>
        </w:rPr>
      </w:pPr>
      <w:r>
        <w:rPr>
          <w:rFonts w:ascii="Times New Roman" w:hAnsi="Times New Roman" w:eastAsia="宋体" w:cs="黑体"/>
          <w:b/>
          <w:sz w:val="24"/>
          <w:szCs w:val="24"/>
        </w:rPr>
        <w:t xml:space="preserve">注意： </w:t>
      </w:r>
    </w:p>
    <w:p>
      <w:pPr>
        <w:spacing w:line="300" w:lineRule="auto"/>
        <w:rPr>
          <w:rFonts w:ascii="Times New Roman" w:hAnsi="Times New Roman" w:eastAsia="宋体" w:cs="黑体"/>
          <w:sz w:val="24"/>
          <w:szCs w:val="24"/>
        </w:rPr>
      </w:pPr>
      <w:r>
        <w:rPr>
          <w:rFonts w:ascii="Times New Roman" w:hAnsi="Times New Roman" w:eastAsia="宋体" w:cs="黑体"/>
          <w:sz w:val="24"/>
          <w:szCs w:val="24"/>
        </w:rPr>
        <w:t>1.所有比赛将会在同一商业案例下进行，每一轮比赛将针对同一案例的不同角度 给出谈判议题，谈判双方就这一议题展开谈判。</w:t>
      </w:r>
    </w:p>
    <w:p>
      <w:pPr>
        <w:spacing w:line="300" w:lineRule="auto"/>
        <w:rPr>
          <w:rFonts w:ascii="Times New Roman" w:hAnsi="Times New Roman" w:eastAsia="宋体" w:cs="黑体"/>
          <w:sz w:val="24"/>
          <w:szCs w:val="24"/>
        </w:rPr>
      </w:pPr>
      <w:r>
        <w:rPr>
          <w:rFonts w:ascii="Times New Roman" w:hAnsi="Times New Roman" w:eastAsia="宋体" w:cs="黑体"/>
          <w:sz w:val="24"/>
          <w:szCs w:val="24"/>
        </w:rPr>
        <w:t>2.进入初赛的队伍比例将会根据参赛队伍的数量进行合理化浮动。</w:t>
      </w:r>
    </w:p>
    <w:p>
      <w:pPr>
        <w:spacing w:line="300" w:lineRule="auto"/>
        <w:rPr>
          <w:rFonts w:ascii="Times New Roman" w:hAnsi="Times New Roman" w:eastAsia="宋体" w:cs="黑体"/>
          <w:sz w:val="24"/>
          <w:szCs w:val="24"/>
        </w:rPr>
      </w:pPr>
      <w:r>
        <w:rPr>
          <w:rFonts w:hint="eastAsia" w:ascii="Times New Roman" w:hAnsi="Times New Roman" w:eastAsia="宋体" w:cs="黑体"/>
          <w:sz w:val="24"/>
          <w:szCs w:val="24"/>
        </w:rPr>
        <w:t>3</w:t>
      </w:r>
      <w:r>
        <w:rPr>
          <w:rFonts w:ascii="Times New Roman" w:hAnsi="Times New Roman" w:eastAsia="宋体" w:cs="黑体"/>
          <w:sz w:val="24"/>
          <w:szCs w:val="24"/>
        </w:rPr>
        <w:t>.初赛每场比赛时间不得超过</w:t>
      </w:r>
      <w:r>
        <w:rPr>
          <w:rFonts w:hint="eastAsia" w:ascii="Times New Roman" w:hAnsi="Times New Roman" w:eastAsia="宋体" w:cs="黑体"/>
          <w:sz w:val="24"/>
          <w:szCs w:val="24"/>
        </w:rPr>
        <w:t>40</w:t>
      </w:r>
      <w:r>
        <w:rPr>
          <w:rFonts w:ascii="Times New Roman" w:hAnsi="Times New Roman" w:eastAsia="宋体" w:cs="黑体"/>
          <w:sz w:val="24"/>
          <w:szCs w:val="24"/>
        </w:rPr>
        <w:t>分钟，其中谈判实战环节不得超过</w:t>
      </w:r>
      <w:r>
        <w:rPr>
          <w:rFonts w:hint="eastAsia" w:ascii="Times New Roman" w:hAnsi="Times New Roman" w:eastAsia="宋体" w:cs="黑体"/>
          <w:sz w:val="24"/>
          <w:szCs w:val="24"/>
        </w:rPr>
        <w:t>30</w:t>
      </w:r>
      <w:r>
        <w:rPr>
          <w:rFonts w:ascii="Times New Roman" w:hAnsi="Times New Roman" w:eastAsia="宋体" w:cs="黑体"/>
          <w:sz w:val="24"/>
          <w:szCs w:val="24"/>
        </w:rPr>
        <w:t>分钟， 同时每队需在谈判实战环节结束后进行不超过</w:t>
      </w:r>
      <w:r>
        <w:rPr>
          <w:rFonts w:hint="eastAsia" w:ascii="Times New Roman" w:hAnsi="Times New Roman" w:eastAsia="宋体" w:cs="黑体"/>
          <w:sz w:val="24"/>
          <w:szCs w:val="24"/>
        </w:rPr>
        <w:t>5</w:t>
      </w:r>
      <w:r>
        <w:rPr>
          <w:rFonts w:ascii="Times New Roman" w:hAnsi="Times New Roman" w:eastAsia="宋体" w:cs="黑体"/>
          <w:sz w:val="24"/>
          <w:szCs w:val="24"/>
        </w:rPr>
        <w:t>分钟的谈判总结。谈判总结的基本内容包括对谈判目标的确定，双方优劣势分析，谈判策略运用，谈判结果总结 等。</w:t>
      </w:r>
    </w:p>
    <w:p>
      <w:pPr/>
      <w:r>
        <w:rPr>
          <w:rFonts w:hint="eastAsia" w:ascii="Times New Roman" w:hAnsi="Times New Roman" w:eastAsia="宋体" w:cs="黑体"/>
          <w:sz w:val="24"/>
          <w:szCs w:val="24"/>
        </w:rPr>
        <w:t>4</w:t>
      </w:r>
      <w:r>
        <w:rPr>
          <w:rFonts w:ascii="Times New Roman" w:hAnsi="Times New Roman" w:eastAsia="宋体" w:cs="黑体"/>
          <w:sz w:val="24"/>
          <w:szCs w:val="24"/>
        </w:rPr>
        <w:t>.一切规则以实际赛程中具体情况为准，大赛组委会享有最终解释权。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762</Characters>
  <Lines>6</Lines>
  <Paragraphs>1</Paragraphs>
  <ScaleCrop>false</ScaleCrop>
  <LinksUpToDate>false</LinksUpToDate>
  <CharactersWithSpaces>894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2020-08-09T06:53:00Z</dcterms:created>
  <dc:creator>Windows 用户</dc:creator>
  <cp:lastModifiedBy>iPad😊</cp:lastModifiedBy>
  <dcterms:modified xsi:type="dcterms:W3CDTF">2020-08-12T10:08:41Z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