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color w:val="2D374B"/>
        </w:rPr>
      </w:pPr>
      <w:r>
        <w:rPr>
          <w:rFonts w:asciiTheme="majorEastAsia" w:hAnsiTheme="majorEastAsia" w:eastAsiaTheme="majorEastAsia"/>
          <w:b/>
          <w:color w:val="000000"/>
          <w:sz w:val="30"/>
          <w:szCs w:val="30"/>
        </w:rPr>
        <w:t>工商管理学院关于继续实施“参与式讲座”计划的通知</w:t>
      </w:r>
    </w:p>
    <w:p>
      <w:pPr>
        <w:pStyle w:val="2"/>
        <w:spacing w:before="0" w:beforeAutospacing="0" w:after="0" w:afterAutospacing="0" w:line="360" w:lineRule="auto"/>
        <w:ind w:firstLine="482"/>
        <w:rPr>
          <w:rFonts w:ascii="&amp;quot" w:hAnsi="&amp;quot"/>
          <w:color w:val="2D374B"/>
          <w:sz w:val="18"/>
          <w:szCs w:val="18"/>
        </w:rPr>
      </w:pPr>
      <w:r>
        <w:rPr>
          <w:rFonts w:hint="eastAsia"/>
          <w:color w:val="2D374B"/>
        </w:rPr>
        <w:t>为丰富学院学生的课余生活，提升学生主动参与各类讲座的积极性，并最终增强学生的内涵式发展能力，根据《中南财经政法大学本科专业全程培养方案》有关规定并结合学院实际</w:t>
      </w:r>
      <w:r>
        <w:rPr>
          <w:rFonts w:hint="eastAsia"/>
          <w:color w:val="2D374B"/>
          <w:lang w:val="en-US" w:eastAsia="zh-CN"/>
        </w:rPr>
        <w:t>情况</w:t>
      </w:r>
      <w:r>
        <w:rPr>
          <w:rFonts w:hint="eastAsia"/>
          <w:color w:val="2D374B"/>
        </w:rPr>
        <w:t>，拟继续在我院本科生中实施“参与式讲座”计划，具体通知如下：</w:t>
      </w:r>
    </w:p>
    <w:p>
      <w:pPr>
        <w:pStyle w:val="2"/>
        <w:spacing w:before="0" w:beforeAutospacing="0" w:after="0" w:afterAutospacing="0" w:line="360" w:lineRule="auto"/>
        <w:ind w:firstLine="482"/>
        <w:rPr>
          <w:b/>
          <w:bCs/>
          <w:color w:val="2D374B"/>
        </w:rPr>
      </w:pPr>
      <w:r>
        <w:rPr>
          <w:rFonts w:hint="eastAsia"/>
          <w:b/>
          <w:bCs/>
          <w:color w:val="2D374B"/>
        </w:rPr>
        <w:t>一、基本介绍</w:t>
      </w:r>
    </w:p>
    <w:p>
      <w:pPr>
        <w:pStyle w:val="2"/>
        <w:spacing w:before="0" w:beforeAutospacing="0" w:after="0" w:afterAutospacing="0" w:line="360" w:lineRule="auto"/>
        <w:ind w:firstLine="482"/>
        <w:rPr>
          <w:rFonts w:ascii="&amp;quot" w:hAnsi="&amp;quot"/>
          <w:color w:val="2D374B"/>
          <w:sz w:val="18"/>
          <w:szCs w:val="18"/>
        </w:rPr>
      </w:pPr>
      <w:r>
        <w:rPr>
          <w:rFonts w:hint="eastAsia"/>
          <w:color w:val="2D374B"/>
        </w:rPr>
        <w:t>“参与式讲座”计划是一项以讲座预约系统为支撑，以课外素质教育学分为保障，以促进学生内涵式发展为目标，以学生主动选择讲座内容、主动参与、主动互动为具体表现形式，内含学术科研、成长成才、职场有约等版块内容的综合性素质培养计划。</w:t>
      </w:r>
    </w:p>
    <w:p>
      <w:pPr>
        <w:pStyle w:val="2"/>
        <w:spacing w:before="0" w:beforeAutospacing="0" w:after="0" w:afterAutospacing="0" w:line="360" w:lineRule="auto"/>
        <w:ind w:firstLine="482"/>
        <w:rPr>
          <w:rFonts w:ascii="&amp;quot" w:hAnsi="&amp;quot"/>
          <w:b/>
          <w:color w:val="2D374B"/>
        </w:rPr>
      </w:pPr>
      <w:r>
        <w:rPr>
          <w:rFonts w:hint="eastAsia"/>
          <w:b/>
          <w:color w:val="2D374B"/>
        </w:rPr>
        <w:t>二、实施对象</w:t>
      </w:r>
    </w:p>
    <w:p>
      <w:pPr>
        <w:pStyle w:val="2"/>
        <w:spacing w:before="0" w:beforeAutospacing="0" w:after="0" w:afterAutospacing="0" w:line="360" w:lineRule="auto"/>
        <w:ind w:firstLine="482"/>
        <w:rPr>
          <w:rFonts w:ascii="&amp;quot" w:hAnsi="&amp;quot"/>
          <w:color w:val="2D374B"/>
          <w:sz w:val="18"/>
          <w:szCs w:val="18"/>
        </w:rPr>
      </w:pPr>
      <w:r>
        <w:rPr>
          <w:rFonts w:hint="eastAsia"/>
          <w:color w:val="2D374B"/>
          <w:lang w:val="en-US" w:eastAsia="zh-CN"/>
        </w:rPr>
        <w:t>主要针对</w:t>
      </w:r>
      <w:r>
        <w:rPr>
          <w:rFonts w:hint="eastAsia"/>
          <w:color w:val="2D374B"/>
        </w:rPr>
        <w:t>工商管理学院大一、大二、大三本科生</w:t>
      </w:r>
    </w:p>
    <w:p>
      <w:pPr>
        <w:pStyle w:val="2"/>
        <w:spacing w:before="0" w:beforeAutospacing="0" w:after="0" w:afterAutospacing="0" w:line="360" w:lineRule="auto"/>
        <w:ind w:firstLine="482"/>
        <w:rPr>
          <w:rFonts w:ascii="&amp;quot" w:hAnsi="&amp;quot"/>
          <w:b/>
          <w:color w:val="2D374B"/>
        </w:rPr>
      </w:pPr>
      <w:r>
        <w:rPr>
          <w:rFonts w:hint="eastAsia"/>
          <w:b/>
          <w:color w:val="2D374B"/>
        </w:rPr>
        <w:t>三、实施流程</w:t>
      </w:r>
    </w:p>
    <w:p>
      <w:pPr>
        <w:pStyle w:val="2"/>
        <w:spacing w:before="0" w:beforeAutospacing="0" w:after="0" w:afterAutospacing="0" w:line="360" w:lineRule="auto"/>
        <w:ind w:firstLine="482"/>
        <w:rPr>
          <w:rFonts w:hint="eastAsia" w:ascii="&amp;quot" w:hAnsi="&amp;quot" w:eastAsia="宋体"/>
          <w:color w:val="2D374B"/>
          <w:sz w:val="18"/>
          <w:szCs w:val="18"/>
          <w:lang w:eastAsia="zh-CN"/>
        </w:rPr>
      </w:pPr>
      <w:r>
        <w:rPr>
          <w:rFonts w:hint="eastAsia"/>
          <w:color w:val="2D374B"/>
        </w:rPr>
        <w:t>本计划由工商管理学院推动实施，由学院分团委具体落实。</w:t>
      </w:r>
      <w:r>
        <w:rPr>
          <w:rFonts w:hint="eastAsia"/>
          <w:color w:val="2D374B"/>
          <w:lang w:val="en-US" w:eastAsia="zh-CN"/>
        </w:rPr>
        <w:t>学院</w:t>
      </w:r>
      <w:r>
        <w:rPr>
          <w:rFonts w:hint="eastAsia"/>
          <w:color w:val="2D374B"/>
        </w:rPr>
        <w:t>各部门组织讲座（含类似讲座性质的活动）应提前通过院网、学院微信公众号（中南大工商管理学院团委）推出，由学生自由</w:t>
      </w:r>
      <w:r>
        <w:rPr>
          <w:rFonts w:hint="eastAsia"/>
          <w:color w:val="2D374B"/>
          <w:lang w:eastAsia="zh-CN"/>
        </w:rPr>
        <w:t>、</w:t>
      </w:r>
      <w:r>
        <w:rPr>
          <w:rFonts w:hint="eastAsia"/>
          <w:color w:val="2D374B"/>
        </w:rPr>
        <w:t>自愿选择报名，承办方根据报名规模提前公布讲座地点、组织讲座，并在现场依托讲座预约系统签到，最终承办方将签到情况汇总至分团委组织部，由组织部对比报名情况和签到情况进行登记考核</w:t>
      </w:r>
      <w:r>
        <w:rPr>
          <w:rFonts w:hint="eastAsia"/>
          <w:b/>
          <w:bCs/>
          <w:color w:val="2D374B"/>
          <w:lang w:eastAsia="zh-CN"/>
        </w:rPr>
        <w:t>（</w:t>
      </w:r>
      <w:r>
        <w:rPr>
          <w:rFonts w:hint="eastAsia"/>
          <w:b/>
          <w:bCs/>
          <w:color w:val="2D374B"/>
          <w:lang w:val="en-US" w:eastAsia="zh-CN"/>
        </w:rPr>
        <w:t>具体操作流程见附件3</w:t>
      </w:r>
      <w:r>
        <w:rPr>
          <w:rFonts w:hint="eastAsia"/>
          <w:b/>
          <w:bCs/>
          <w:color w:val="2D374B"/>
          <w:lang w:eastAsia="zh-CN"/>
        </w:rPr>
        <w:t>）</w:t>
      </w:r>
      <w:r>
        <w:rPr>
          <w:rFonts w:hint="eastAsia"/>
          <w:color w:val="2D374B"/>
          <w:lang w:eastAsia="zh-CN"/>
        </w:rPr>
        <w:t>。</w:t>
      </w:r>
    </w:p>
    <w:p>
      <w:pPr>
        <w:pStyle w:val="2"/>
        <w:spacing w:before="0" w:beforeAutospacing="0" w:after="0" w:afterAutospacing="0" w:line="360" w:lineRule="auto"/>
        <w:ind w:firstLine="482"/>
        <w:rPr>
          <w:rFonts w:ascii="&amp;quot" w:hAnsi="&amp;quot"/>
          <w:b/>
          <w:color w:val="2D374B"/>
        </w:rPr>
      </w:pPr>
      <w:r>
        <w:rPr>
          <w:rFonts w:hint="eastAsia"/>
          <w:b/>
          <w:color w:val="2D374B"/>
        </w:rPr>
        <w:t>四、考核要求</w:t>
      </w:r>
    </w:p>
    <w:p>
      <w:pPr>
        <w:pStyle w:val="2"/>
        <w:spacing w:before="0" w:beforeAutospacing="0" w:after="0" w:afterAutospacing="0" w:line="360" w:lineRule="auto"/>
        <w:ind w:firstLine="482"/>
        <w:rPr>
          <w:rFonts w:hint="eastAsia"/>
          <w:color w:val="2D374B"/>
        </w:rPr>
      </w:pPr>
      <w:r>
        <w:rPr>
          <w:rFonts w:hint="eastAsia"/>
          <w:color w:val="2D374B"/>
          <w:lang w:val="en-US" w:eastAsia="zh-CN"/>
        </w:rPr>
        <w:t>1.</w:t>
      </w:r>
      <w:r>
        <w:rPr>
          <w:rFonts w:hint="eastAsia"/>
          <w:color w:val="2D374B"/>
        </w:rPr>
        <w:t>根据《中南财经政法大学本科专业全程培养方案》，学院将各专业学生“课外素质教育”中10学分中的5学分专门用于督促、保障“参与式讲座”计划的实施。</w:t>
      </w:r>
    </w:p>
    <w:p>
      <w:pPr>
        <w:pStyle w:val="2"/>
        <w:spacing w:before="0" w:beforeAutospacing="0" w:after="0" w:afterAutospacing="0" w:line="360" w:lineRule="auto"/>
        <w:ind w:firstLine="482"/>
        <w:rPr>
          <w:rFonts w:hint="eastAsia"/>
          <w:b w:val="0"/>
          <w:bCs w:val="0"/>
          <w:color w:val="2D374B"/>
        </w:rPr>
      </w:pPr>
      <w:r>
        <w:rPr>
          <w:rFonts w:hint="eastAsia"/>
          <w:b w:val="0"/>
          <w:bCs w:val="0"/>
          <w:color w:val="2D374B"/>
          <w:lang w:val="en-US" w:eastAsia="zh-CN"/>
        </w:rPr>
        <w:t>2.</w:t>
      </w:r>
      <w:r>
        <w:rPr>
          <w:rFonts w:hint="eastAsia"/>
          <w:b w:val="0"/>
          <w:bCs w:val="0"/>
          <w:color w:val="2D374B"/>
        </w:rPr>
        <w:t>大一学生每人每学年预约并参与讲座数量不少于3场，大二、大三学生每人每学年预约并参与讲座数量不少于2场。</w:t>
      </w:r>
    </w:p>
    <w:p>
      <w:pPr>
        <w:pStyle w:val="2"/>
        <w:spacing w:before="0" w:beforeAutospacing="0" w:after="0" w:afterAutospacing="0" w:line="360" w:lineRule="auto"/>
        <w:ind w:firstLine="482"/>
        <w:rPr>
          <w:rFonts w:hint="eastAsia"/>
          <w:color w:val="2D374B"/>
        </w:rPr>
      </w:pPr>
      <w:r>
        <w:rPr>
          <w:rFonts w:hint="eastAsia"/>
          <w:b w:val="0"/>
          <w:bCs w:val="0"/>
          <w:color w:val="2D374B"/>
          <w:lang w:val="en-US" w:eastAsia="zh-CN"/>
        </w:rPr>
        <w:t>3.大一、大二学生按要求</w:t>
      </w:r>
      <w:r>
        <w:rPr>
          <w:rFonts w:hint="eastAsia"/>
          <w:b w:val="0"/>
          <w:bCs w:val="0"/>
          <w:color w:val="2D374B"/>
        </w:rPr>
        <w:t>完成各自学年讲</w:t>
      </w:r>
      <w:r>
        <w:rPr>
          <w:rFonts w:hint="eastAsia"/>
          <w:color w:val="2D374B"/>
        </w:rPr>
        <w:t>座参与量，</w:t>
      </w:r>
      <w:r>
        <w:rPr>
          <w:rFonts w:hint="eastAsia"/>
          <w:color w:val="2D374B"/>
          <w:lang w:val="en-US" w:eastAsia="zh-CN"/>
        </w:rPr>
        <w:t>经分团委组织部考核登记后，</w:t>
      </w:r>
      <w:r>
        <w:rPr>
          <w:rFonts w:hint="eastAsia"/>
          <w:color w:val="2D374B"/>
        </w:rPr>
        <w:t>可</w:t>
      </w:r>
      <w:r>
        <w:rPr>
          <w:rFonts w:hint="eastAsia"/>
          <w:color w:val="2D374B"/>
          <w:lang w:val="en-US" w:eastAsia="zh-CN"/>
        </w:rPr>
        <w:t>分别</w:t>
      </w:r>
      <w:r>
        <w:rPr>
          <w:rFonts w:hint="eastAsia"/>
          <w:color w:val="2D374B"/>
        </w:rPr>
        <w:t>获得相应学年的2学分</w:t>
      </w:r>
      <w:r>
        <w:rPr>
          <w:rFonts w:hint="eastAsia"/>
          <w:color w:val="2D374B"/>
          <w:lang w:eastAsia="zh-CN"/>
        </w:rPr>
        <w:t>；</w:t>
      </w:r>
      <w:r>
        <w:rPr>
          <w:rFonts w:hint="eastAsia"/>
          <w:b w:val="0"/>
          <w:bCs w:val="0"/>
          <w:color w:val="2D374B"/>
          <w:lang w:val="en-US" w:eastAsia="zh-CN"/>
        </w:rPr>
        <w:t>大三学生按要求</w:t>
      </w:r>
      <w:r>
        <w:rPr>
          <w:rFonts w:hint="eastAsia"/>
          <w:b w:val="0"/>
          <w:bCs w:val="0"/>
          <w:color w:val="2D374B"/>
        </w:rPr>
        <w:t>完成</w:t>
      </w:r>
      <w:r>
        <w:rPr>
          <w:rFonts w:hint="eastAsia"/>
          <w:b w:val="0"/>
          <w:bCs w:val="0"/>
          <w:color w:val="2D374B"/>
          <w:lang w:val="en-US" w:eastAsia="zh-CN"/>
        </w:rPr>
        <w:t>其</w:t>
      </w:r>
      <w:r>
        <w:rPr>
          <w:rFonts w:hint="eastAsia"/>
          <w:b w:val="0"/>
          <w:bCs w:val="0"/>
          <w:color w:val="2D374B"/>
        </w:rPr>
        <w:t>学年讲</w:t>
      </w:r>
      <w:r>
        <w:rPr>
          <w:rFonts w:hint="eastAsia"/>
          <w:color w:val="2D374B"/>
        </w:rPr>
        <w:t>座参与量，</w:t>
      </w:r>
      <w:r>
        <w:rPr>
          <w:rFonts w:hint="eastAsia"/>
          <w:color w:val="2D374B"/>
          <w:lang w:val="en-US" w:eastAsia="zh-CN"/>
        </w:rPr>
        <w:t>经分团委组织部考核登记后，</w:t>
      </w:r>
      <w:r>
        <w:rPr>
          <w:rFonts w:hint="eastAsia"/>
          <w:color w:val="2D374B"/>
        </w:rPr>
        <w:t>可获得相应学年的</w:t>
      </w:r>
      <w:r>
        <w:rPr>
          <w:rFonts w:hint="eastAsia"/>
          <w:color w:val="2D374B"/>
          <w:lang w:val="en-US" w:eastAsia="zh-CN"/>
        </w:rPr>
        <w:t>1</w:t>
      </w:r>
      <w:r>
        <w:rPr>
          <w:rFonts w:hint="eastAsia"/>
          <w:color w:val="2D374B"/>
        </w:rPr>
        <w:t>学分。</w:t>
      </w:r>
    </w:p>
    <w:p>
      <w:pPr>
        <w:pStyle w:val="2"/>
        <w:spacing w:before="0" w:beforeAutospacing="0" w:after="0" w:afterAutospacing="0" w:line="360" w:lineRule="auto"/>
        <w:ind w:firstLine="482"/>
        <w:rPr>
          <w:rFonts w:hint="eastAsia"/>
          <w:b/>
          <w:color w:val="2D374B"/>
        </w:rPr>
      </w:pPr>
      <w:r>
        <w:rPr>
          <w:rFonts w:hint="eastAsia"/>
          <w:b/>
          <w:color w:val="2D374B"/>
          <w:lang w:val="en-US" w:eastAsia="zh-CN"/>
        </w:rPr>
        <w:t>五、</w:t>
      </w:r>
      <w:r>
        <w:rPr>
          <w:rFonts w:hint="eastAsia"/>
          <w:b/>
          <w:color w:val="2D374B"/>
        </w:rPr>
        <w:t>注意事项：</w:t>
      </w:r>
    </w:p>
    <w:p>
      <w:pPr>
        <w:pStyle w:val="2"/>
        <w:spacing w:before="0" w:beforeAutospacing="0" w:after="0" w:afterAutospacing="0" w:line="360" w:lineRule="auto"/>
        <w:ind w:firstLine="482"/>
        <w:rPr>
          <w:rFonts w:ascii="&amp;quot" w:hAnsi="&amp;quot"/>
          <w:color w:val="2D374B"/>
          <w:sz w:val="18"/>
          <w:szCs w:val="18"/>
        </w:rPr>
      </w:pPr>
      <w:r>
        <w:rPr>
          <w:rFonts w:hint="eastAsia"/>
          <w:color w:val="2D374B"/>
        </w:rPr>
        <w:t>1.杜绝恶意预约，如两次预约无故不参加（未</w:t>
      </w:r>
      <w:r>
        <w:rPr>
          <w:rFonts w:hint="eastAsia"/>
          <w:color w:val="2D374B"/>
          <w:lang w:val="en-US" w:eastAsia="zh-CN"/>
        </w:rPr>
        <w:t>签到/未签退</w:t>
      </w:r>
      <w:r>
        <w:rPr>
          <w:rFonts w:hint="eastAsia"/>
          <w:color w:val="2D374B"/>
        </w:rPr>
        <w:t>）的取消本学期所有讲座预约参加资格；</w:t>
      </w:r>
    </w:p>
    <w:p>
      <w:pPr>
        <w:pStyle w:val="2"/>
        <w:spacing w:before="0" w:beforeAutospacing="0" w:after="0" w:afterAutospacing="0" w:line="360" w:lineRule="auto"/>
        <w:ind w:firstLine="482"/>
        <w:rPr>
          <w:rFonts w:ascii="&amp;quot" w:hAnsi="&amp;quot"/>
          <w:color w:val="2D374B"/>
          <w:sz w:val="18"/>
          <w:szCs w:val="18"/>
        </w:rPr>
      </w:pPr>
      <w:r>
        <w:rPr>
          <w:rFonts w:hint="eastAsia"/>
          <w:color w:val="2D374B"/>
        </w:rPr>
        <w:t>2.用于“参与式讲座”计划的5学分不得通过其他活动予以替代；</w:t>
      </w:r>
    </w:p>
    <w:p>
      <w:pPr>
        <w:pStyle w:val="2"/>
        <w:spacing w:before="0" w:beforeAutospacing="0" w:after="0" w:afterAutospacing="0" w:line="360" w:lineRule="auto"/>
        <w:ind w:firstLine="482"/>
        <w:rPr>
          <w:rFonts w:ascii="&amp;quot" w:hAnsi="&amp;quot"/>
          <w:color w:val="2D374B"/>
          <w:sz w:val="18"/>
          <w:szCs w:val="18"/>
        </w:rPr>
      </w:pPr>
      <w:r>
        <w:rPr>
          <w:rFonts w:hint="eastAsia"/>
          <w:color w:val="2D374B"/>
        </w:rPr>
        <w:t>3.不同学年的学分不可提前完成，仅能当年完成当年的</w:t>
      </w:r>
      <w:r>
        <w:rPr>
          <w:rFonts w:hint="eastAsia"/>
          <w:color w:val="2D374B"/>
          <w:lang w:eastAsia="zh-CN"/>
        </w:rPr>
        <w:t>；</w:t>
      </w:r>
      <w:r>
        <w:rPr>
          <w:rFonts w:hint="eastAsia"/>
          <w:color w:val="2D374B"/>
        </w:rPr>
        <w:t>如</w:t>
      </w:r>
      <w:r>
        <w:rPr>
          <w:rFonts w:hint="eastAsia"/>
          <w:color w:val="2D374B"/>
          <w:lang w:val="en-US" w:eastAsia="zh-CN"/>
        </w:rPr>
        <w:t>有学生经</w:t>
      </w:r>
      <w:r>
        <w:rPr>
          <w:rFonts w:hint="eastAsia"/>
          <w:color w:val="2D374B"/>
        </w:rPr>
        <w:t>前三学年后仍有未完成的学分，需在大四学年补充完成；</w:t>
      </w:r>
    </w:p>
    <w:p>
      <w:pPr>
        <w:pStyle w:val="2"/>
        <w:spacing w:before="0" w:beforeAutospacing="0" w:after="0" w:afterAutospacing="0" w:line="360" w:lineRule="auto"/>
        <w:ind w:firstLine="482"/>
        <w:rPr>
          <w:rFonts w:ascii="&amp;quot" w:hAnsi="&amp;quot"/>
          <w:b/>
          <w:color w:val="2D374B"/>
        </w:rPr>
      </w:pPr>
      <w:r>
        <w:rPr>
          <w:rFonts w:hint="eastAsia"/>
          <w:b/>
          <w:color w:val="2D374B"/>
          <w:lang w:val="en-US" w:eastAsia="zh-CN"/>
        </w:rPr>
        <w:t>六</w:t>
      </w:r>
      <w:r>
        <w:rPr>
          <w:rFonts w:hint="eastAsia"/>
          <w:b/>
          <w:color w:val="2D374B"/>
        </w:rPr>
        <w:t>、宣传及组织保障</w:t>
      </w:r>
    </w:p>
    <w:p>
      <w:pPr>
        <w:pStyle w:val="2"/>
        <w:spacing w:before="0" w:beforeAutospacing="0" w:after="0" w:afterAutospacing="0" w:line="360" w:lineRule="auto"/>
        <w:ind w:firstLine="482"/>
        <w:rPr>
          <w:rFonts w:ascii="&amp;quot" w:hAnsi="&amp;quot"/>
          <w:color w:val="2D374B"/>
          <w:sz w:val="18"/>
          <w:szCs w:val="18"/>
        </w:rPr>
      </w:pPr>
      <w:r>
        <w:rPr>
          <w:rFonts w:hint="eastAsia"/>
          <w:color w:val="2D374B"/>
        </w:rPr>
        <w:t>要求学院</w:t>
      </w:r>
      <w:r>
        <w:rPr>
          <w:rFonts w:hint="eastAsia"/>
          <w:color w:val="2D374B"/>
          <w:lang w:val="en-US" w:eastAsia="zh-CN"/>
        </w:rPr>
        <w:t>各</w:t>
      </w:r>
      <w:r>
        <w:rPr>
          <w:rFonts w:hint="eastAsia"/>
          <w:color w:val="2D374B"/>
        </w:rPr>
        <w:t>相关部门认真组织实施，各年级学生会积极配合</w:t>
      </w:r>
      <w:r>
        <w:rPr>
          <w:rFonts w:hint="eastAsia"/>
          <w:color w:val="2D374B"/>
          <w:lang w:eastAsia="zh-CN"/>
        </w:rPr>
        <w:t>；</w:t>
      </w:r>
      <w:r>
        <w:rPr>
          <w:rFonts w:hint="eastAsia"/>
          <w:color w:val="2D374B"/>
        </w:rPr>
        <w:t>要求学院各年级通过多种渠道宣传“参与式讲座”计划，确保每位同学知晓并积极参与。</w:t>
      </w:r>
    </w:p>
    <w:p>
      <w:pPr>
        <w:pStyle w:val="2"/>
        <w:spacing w:before="0" w:beforeAutospacing="0" w:after="0" w:afterAutospacing="0" w:line="360" w:lineRule="auto"/>
        <w:ind w:firstLine="482"/>
        <w:rPr>
          <w:rFonts w:ascii="&amp;quot" w:hAnsi="&amp;quot"/>
          <w:color w:val="2D374B"/>
          <w:sz w:val="18"/>
          <w:szCs w:val="18"/>
        </w:rPr>
      </w:pPr>
      <w:r>
        <w:rPr>
          <w:rFonts w:hint="eastAsia"/>
          <w:color w:val="2D374B"/>
        </w:rPr>
        <w:t>特此通知</w:t>
      </w:r>
    </w:p>
    <w:p>
      <w:pPr>
        <w:widowControl/>
        <w:spacing w:line="360" w:lineRule="auto"/>
        <w:ind w:firstLine="480"/>
        <w:jc w:val="right"/>
        <w:rPr>
          <w:rFonts w:hint="eastAsia" w:ascii="宋体" w:hAnsi="宋体" w:eastAsia="宋体" w:cs="宋体"/>
          <w:i w:val="0"/>
          <w:caps w:val="0"/>
          <w:color w:val="2D374B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2D374B"/>
          <w:spacing w:val="0"/>
          <w:sz w:val="24"/>
          <w:szCs w:val="24"/>
        </w:rPr>
        <w:t>共青团中南财经政法大学工商管理学院委员会</w:t>
      </w:r>
    </w:p>
    <w:p>
      <w:pPr>
        <w:widowControl/>
        <w:spacing w:line="360" w:lineRule="auto"/>
        <w:ind w:firstLine="480"/>
        <w:jc w:val="right"/>
        <w:rPr>
          <w:rFonts w:hint="eastAsia" w:ascii="&amp;quot" w:hAnsi="&amp;quot" w:eastAsia="宋体" w:cs="宋体"/>
          <w:color w:val="2D374B"/>
          <w:kern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2D374B"/>
          <w:spacing w:val="0"/>
          <w:sz w:val="24"/>
          <w:szCs w:val="24"/>
        </w:rPr>
        <w:t>二〇一</w:t>
      </w:r>
      <w:r>
        <w:rPr>
          <w:rFonts w:hint="eastAsia" w:ascii="宋体" w:hAnsi="宋体" w:eastAsia="宋体" w:cs="宋体"/>
          <w:i w:val="0"/>
          <w:caps w:val="0"/>
          <w:color w:val="2D374B"/>
          <w:spacing w:val="0"/>
          <w:sz w:val="24"/>
          <w:szCs w:val="24"/>
          <w:lang w:val="en-US" w:eastAsia="zh-CN"/>
        </w:rPr>
        <w:t>九</w:t>
      </w:r>
      <w:r>
        <w:rPr>
          <w:rFonts w:hint="eastAsia" w:ascii="宋体" w:hAnsi="宋体" w:eastAsia="宋体" w:cs="宋体"/>
          <w:color w:val="2D374B"/>
          <w:kern w:val="0"/>
          <w:sz w:val="24"/>
          <w:szCs w:val="24"/>
        </w:rPr>
        <w:t>年</w:t>
      </w:r>
      <w:r>
        <w:rPr>
          <w:rFonts w:hint="eastAsia" w:ascii="宋体" w:hAnsi="宋体" w:eastAsia="宋体" w:cs="宋体"/>
          <w:color w:val="2D374B"/>
          <w:kern w:val="0"/>
          <w:sz w:val="24"/>
          <w:szCs w:val="24"/>
          <w:lang w:val="en-US" w:eastAsia="zh-CN"/>
        </w:rPr>
        <w:t>二</w:t>
      </w:r>
      <w:r>
        <w:rPr>
          <w:rFonts w:hint="eastAsia" w:ascii="宋体" w:hAnsi="宋体" w:eastAsia="宋体" w:cs="宋体"/>
          <w:color w:val="2D374B"/>
          <w:kern w:val="0"/>
          <w:sz w:val="24"/>
          <w:szCs w:val="24"/>
        </w:rPr>
        <w:t>月</w:t>
      </w:r>
      <w:r>
        <w:rPr>
          <w:rFonts w:hint="eastAsia" w:ascii="宋体" w:hAnsi="宋体" w:eastAsia="宋体" w:cs="宋体"/>
          <w:color w:val="2D374B"/>
          <w:kern w:val="0"/>
          <w:sz w:val="24"/>
          <w:szCs w:val="24"/>
          <w:lang w:val="en-US" w:eastAsia="zh-CN"/>
        </w:rPr>
        <w:t>二十五</w:t>
      </w:r>
      <w:r>
        <w:rPr>
          <w:rFonts w:hint="eastAsia" w:ascii="宋体" w:hAnsi="宋体" w:eastAsia="宋体" w:cs="宋体"/>
          <w:color w:val="2D374B"/>
          <w:kern w:val="0"/>
          <w:sz w:val="24"/>
          <w:szCs w:val="24"/>
        </w:rPr>
        <w:t>日</w:t>
      </w:r>
    </w:p>
    <w:p>
      <w:pPr>
        <w:jc w:val="center"/>
        <w:rPr>
          <w:rFonts w:hint="eastAsia" w:asciiTheme="majorEastAsia" w:hAnsiTheme="majorEastAsia" w:eastAsiaTheme="majorEastAsia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&amp;quot">
    <w:altName w:val="Cambria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3539"/>
    <w:rsid w:val="003E79AB"/>
    <w:rsid w:val="00415A3E"/>
    <w:rsid w:val="00E13539"/>
    <w:rsid w:val="351C6B08"/>
    <w:rsid w:val="46FB1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141</Words>
  <Characters>808</Characters>
  <Lines>6</Lines>
  <Paragraphs>1</Paragraphs>
  <TotalTime>1</TotalTime>
  <ScaleCrop>false</ScaleCrop>
  <LinksUpToDate>false</LinksUpToDate>
  <CharactersWithSpaces>948</CharactersWithSpaces>
  <Application>WPS Office_11.1.0.8412_F1E327BC-269C-435d-A152-05C5408002CA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2019-01-25T05:57:00Z</dcterms:created>
  <dc:creator>dears媛</dc:creator>
  <cp:lastModifiedBy>In the balance .</cp:lastModifiedBy>
  <dcterms:modified xsi:type="dcterms:W3CDTF">2019-01-28T12:33:04Z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2052-11.1.0.8412</vt:lpwstr>
  </property>
</Properties>
</file>